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A9BD" w14:textId="77777777" w:rsidR="00CD0B8C" w:rsidRDefault="00CD0B8C" w:rsidP="00CD0B8C">
      <w:pPr>
        <w:rPr>
          <w:b/>
          <w:bCs/>
          <w:lang w:val="en-GB"/>
        </w:rPr>
      </w:pPr>
    </w:p>
    <w:p w14:paraId="675E9558" w14:textId="330CD2ED" w:rsidR="00CD0B8C" w:rsidRPr="00CD0B8C" w:rsidRDefault="00CD0B8C" w:rsidP="00CD0B8C">
      <w:pPr>
        <w:rPr>
          <w:b/>
          <w:bCs/>
          <w:sz w:val="28"/>
          <w:szCs w:val="28"/>
          <w:lang w:val="en-GB"/>
        </w:rPr>
      </w:pPr>
      <w:r w:rsidRPr="00CD0B8C">
        <w:rPr>
          <w:b/>
          <w:bCs/>
          <w:sz w:val="28"/>
          <w:szCs w:val="28"/>
          <w:lang w:val="en-GB"/>
        </w:rPr>
        <w:t>“Clinical features and predictors of poor outcomes in patients with Behçet’s disease: analysis of the Portuguese vasculitis registry”</w:t>
      </w:r>
    </w:p>
    <w:p w14:paraId="338620B7" w14:textId="2E4D35F8" w:rsidR="00CD0B8C" w:rsidRDefault="00EF147B" w:rsidP="00CD0B8C">
      <w:pPr>
        <w:jc w:val="both"/>
      </w:pPr>
      <w:r w:rsidRPr="00EF147B">
        <w:rPr>
          <w:u w:val="single"/>
        </w:rPr>
        <w:t>Equipa proponente:</w:t>
      </w:r>
      <w:r>
        <w:t xml:space="preserve"> </w:t>
      </w:r>
      <w:r w:rsidR="00CD0B8C" w:rsidRPr="00CD0B8C">
        <w:t>Margarida Lucas Rocha</w:t>
      </w:r>
      <w:r w:rsidR="00CD0B8C">
        <w:t xml:space="preserve"> </w:t>
      </w:r>
      <w:r w:rsidR="00CD0B8C" w:rsidRPr="00CD0B8C">
        <w:rPr>
          <w:vertAlign w:val="superscript"/>
        </w:rPr>
        <w:t>1, 2, 3</w:t>
      </w:r>
      <w:r w:rsidR="00CD0B8C" w:rsidRPr="00CD0B8C">
        <w:t>, Roberto Pereira da Costa</w:t>
      </w:r>
      <w:r w:rsidR="00CD0B8C">
        <w:t xml:space="preserve"> </w:t>
      </w:r>
      <w:r w:rsidR="00CD0B8C" w:rsidRPr="00CD0B8C">
        <w:rPr>
          <w:vertAlign w:val="superscript"/>
        </w:rPr>
        <w:t>2, 3</w:t>
      </w:r>
      <w:r w:rsidR="00CD0B8C" w:rsidRPr="00CD0B8C">
        <w:t>, Ana Teodósio Chícharo</w:t>
      </w:r>
      <w:r w:rsidR="00CD0B8C" w:rsidRPr="00CD0B8C">
        <w:rPr>
          <w:vertAlign w:val="superscript"/>
        </w:rPr>
        <w:t>1</w:t>
      </w:r>
      <w:r w:rsidR="00CD0B8C" w:rsidRPr="00CD0B8C">
        <w:t xml:space="preserve">, </w:t>
      </w:r>
      <w:r w:rsidR="00CD0B8C" w:rsidRPr="00CD0B8C">
        <w:rPr>
          <w:vertAlign w:val="superscript"/>
        </w:rPr>
        <w:t>3</w:t>
      </w:r>
      <w:r w:rsidR="00CD0B8C" w:rsidRPr="00CD0B8C">
        <w:t>, Inês Sopa</w:t>
      </w:r>
      <w:r w:rsidR="00CD0B8C" w:rsidRPr="00CD0B8C">
        <w:rPr>
          <w:vertAlign w:val="superscript"/>
        </w:rPr>
        <w:t>3</w:t>
      </w:r>
      <w:r w:rsidR="00CD0B8C" w:rsidRPr="00CD0B8C">
        <w:t xml:space="preserve">, Martins-Martinho J </w:t>
      </w:r>
      <w:r w:rsidR="00CD0B8C" w:rsidRPr="00CD0B8C">
        <w:rPr>
          <w:vertAlign w:val="superscript"/>
        </w:rPr>
        <w:t>2,3</w:t>
      </w:r>
      <w:r w:rsidR="00CD0B8C" w:rsidRPr="00CD0B8C">
        <w:t>, Carla Macieira</w:t>
      </w:r>
      <w:r w:rsidR="00CD0B8C" w:rsidRPr="00CD0B8C">
        <w:rPr>
          <w:vertAlign w:val="superscript"/>
        </w:rPr>
        <w:t>3</w:t>
      </w:r>
      <w:r w:rsidR="00CD0B8C" w:rsidRPr="00CD0B8C">
        <w:t>, Cristina Ponte</w:t>
      </w:r>
      <w:r w:rsidR="00CD0B8C" w:rsidRPr="00CD0B8C">
        <w:rPr>
          <w:vertAlign w:val="superscript"/>
        </w:rPr>
        <w:t>2</w:t>
      </w:r>
      <w:r w:rsidR="00CD0B8C" w:rsidRPr="00CD0B8C">
        <w:t xml:space="preserve">, 3, </w:t>
      </w:r>
      <w:proofErr w:type="spellStart"/>
      <w:r w:rsidR="00CD0B8C" w:rsidRPr="00CD0B8C">
        <w:t>Nikita</w:t>
      </w:r>
      <w:proofErr w:type="spellEnd"/>
      <w:r w:rsidR="00CD0B8C" w:rsidRPr="00CD0B8C">
        <w:t xml:space="preserve"> Khmelinskii</w:t>
      </w:r>
      <w:r w:rsidR="00CD0B8C" w:rsidRPr="00CD0B8C">
        <w:rPr>
          <w:vertAlign w:val="superscript"/>
        </w:rPr>
        <w:t xml:space="preserve">2, 3 </w:t>
      </w:r>
    </w:p>
    <w:p w14:paraId="22CFFAD6" w14:textId="38C332F1" w:rsidR="00816AD9" w:rsidRPr="00CD0B8C" w:rsidRDefault="00CD0B8C" w:rsidP="00CD0B8C">
      <w:pPr>
        <w:jc w:val="both"/>
        <w:rPr>
          <w:sz w:val="22"/>
          <w:szCs w:val="22"/>
        </w:rPr>
      </w:pPr>
      <w:r w:rsidRPr="00CD0B8C">
        <w:rPr>
          <w:sz w:val="22"/>
          <w:szCs w:val="22"/>
          <w:vertAlign w:val="superscript"/>
        </w:rPr>
        <w:t>1</w:t>
      </w:r>
      <w:r w:rsidRPr="00CD0B8C">
        <w:rPr>
          <w:sz w:val="22"/>
          <w:szCs w:val="22"/>
        </w:rPr>
        <w:t xml:space="preserve">Rheumatology </w:t>
      </w:r>
      <w:proofErr w:type="spellStart"/>
      <w:r w:rsidRPr="00CD0B8C">
        <w:rPr>
          <w:sz w:val="22"/>
          <w:szCs w:val="22"/>
        </w:rPr>
        <w:t>Department</w:t>
      </w:r>
      <w:proofErr w:type="spellEnd"/>
      <w:r w:rsidRPr="00CD0B8C">
        <w:rPr>
          <w:sz w:val="22"/>
          <w:szCs w:val="22"/>
        </w:rPr>
        <w:t xml:space="preserve">, Unidade Local de Saúde do Algarve, Faro, Portugal, </w:t>
      </w:r>
      <w:r w:rsidRPr="00CD0B8C">
        <w:rPr>
          <w:sz w:val="22"/>
          <w:szCs w:val="22"/>
          <w:vertAlign w:val="superscript"/>
        </w:rPr>
        <w:t>2</w:t>
      </w:r>
      <w:r w:rsidRPr="00CD0B8C">
        <w:rPr>
          <w:sz w:val="22"/>
          <w:szCs w:val="22"/>
        </w:rPr>
        <w:t xml:space="preserve">Rheumatology Research </w:t>
      </w:r>
      <w:proofErr w:type="spellStart"/>
      <w:r w:rsidRPr="00CD0B8C">
        <w:rPr>
          <w:sz w:val="22"/>
          <w:szCs w:val="22"/>
        </w:rPr>
        <w:t>Unit</w:t>
      </w:r>
      <w:proofErr w:type="spellEnd"/>
      <w:r w:rsidRPr="00CD0B8C">
        <w:rPr>
          <w:sz w:val="22"/>
          <w:szCs w:val="22"/>
        </w:rPr>
        <w:t xml:space="preserve">, Instituto de Medicina Molecular, Lisboa, Portugal, </w:t>
      </w:r>
      <w:r w:rsidRPr="00CD0B8C">
        <w:rPr>
          <w:sz w:val="22"/>
          <w:szCs w:val="22"/>
          <w:vertAlign w:val="superscript"/>
        </w:rPr>
        <w:t>3</w:t>
      </w:r>
      <w:r w:rsidRPr="00CD0B8C">
        <w:rPr>
          <w:sz w:val="22"/>
          <w:szCs w:val="22"/>
        </w:rPr>
        <w:t>Serviço de Reumatologia, Unidade Local de Saúde Santa Maria, Centro Académico de Medicina de Lisboa, Lisboa, Portugal</w:t>
      </w:r>
    </w:p>
    <w:p w14:paraId="1E671947" w14:textId="77777777" w:rsidR="00CD0B8C" w:rsidRPr="00EF147B" w:rsidRDefault="00CD0B8C" w:rsidP="00CD0B8C">
      <w:pPr>
        <w:jc w:val="both"/>
        <w:rPr>
          <w:b/>
          <w:bCs/>
        </w:rPr>
      </w:pPr>
    </w:p>
    <w:p w14:paraId="583D8B37" w14:textId="2A551DDB" w:rsidR="00CD0B8C" w:rsidRPr="00CD0B8C" w:rsidRDefault="00CD0B8C" w:rsidP="00CD0B8C">
      <w:pPr>
        <w:jc w:val="both"/>
        <w:rPr>
          <w:b/>
          <w:bCs/>
          <w:sz w:val="28"/>
          <w:szCs w:val="28"/>
          <w:lang w:val="en-GB"/>
        </w:rPr>
      </w:pPr>
      <w:r w:rsidRPr="00CD0B8C">
        <w:rPr>
          <w:b/>
          <w:bCs/>
          <w:sz w:val="28"/>
          <w:szCs w:val="28"/>
          <w:lang w:val="en-GB"/>
        </w:rPr>
        <w:t>Abstract</w:t>
      </w:r>
    </w:p>
    <w:p w14:paraId="42F4D332" w14:textId="240BCD23" w:rsidR="00CD0B8C" w:rsidRPr="00CD0B8C" w:rsidRDefault="00CD0B8C" w:rsidP="00CD0B8C">
      <w:pPr>
        <w:jc w:val="both"/>
        <w:rPr>
          <w:lang w:val="en-GB"/>
        </w:rPr>
      </w:pPr>
      <w:r w:rsidRPr="00CD0B8C">
        <w:rPr>
          <w:lang w:val="en-GB"/>
        </w:rPr>
        <w:t xml:space="preserve">Background: Behçet’s disease (BD) is a multisystem inflammatory disorder of unclear </w:t>
      </w:r>
      <w:proofErr w:type="spellStart"/>
      <w:r w:rsidRPr="00CD0B8C">
        <w:rPr>
          <w:lang w:val="en-GB"/>
        </w:rPr>
        <w:t>etiology</w:t>
      </w:r>
      <w:proofErr w:type="spellEnd"/>
      <w:r w:rsidRPr="00CD0B8C">
        <w:rPr>
          <w:lang w:val="en-GB"/>
        </w:rPr>
        <w:t xml:space="preserve"> that can cause an array of</w:t>
      </w:r>
      <w:r>
        <w:rPr>
          <w:lang w:val="en-GB"/>
        </w:rPr>
        <w:t xml:space="preserve"> </w:t>
      </w:r>
      <w:r w:rsidRPr="00CD0B8C">
        <w:rPr>
          <w:lang w:val="en-GB"/>
        </w:rPr>
        <w:t>symptoms, including oral and genital ulcers, skin lesions, uveitis, arthritis, as well as vascular and central nervous system</w:t>
      </w:r>
      <w:r>
        <w:rPr>
          <w:lang w:val="en-GB"/>
        </w:rPr>
        <w:t xml:space="preserve"> </w:t>
      </w:r>
      <w:r w:rsidRPr="00CD0B8C">
        <w:rPr>
          <w:lang w:val="en-GB"/>
        </w:rPr>
        <w:t>manifestations.</w:t>
      </w:r>
    </w:p>
    <w:p w14:paraId="372273BF" w14:textId="16B3C854" w:rsidR="00CD0B8C" w:rsidRPr="00CD0B8C" w:rsidRDefault="00CD0B8C" w:rsidP="00CD0B8C">
      <w:pPr>
        <w:jc w:val="both"/>
        <w:rPr>
          <w:lang w:val="en-GB"/>
        </w:rPr>
      </w:pPr>
      <w:r w:rsidRPr="00CD0B8C">
        <w:rPr>
          <w:lang w:val="en-GB"/>
        </w:rPr>
        <w:t>Aims: This study aims to identify demographic and clinical predictors of neurological (NBD) and/or vascular (VBD)</w:t>
      </w:r>
      <w:r>
        <w:rPr>
          <w:lang w:val="en-GB"/>
        </w:rPr>
        <w:t xml:space="preserve"> </w:t>
      </w:r>
      <w:r w:rsidRPr="00CD0B8C">
        <w:rPr>
          <w:lang w:val="en-GB"/>
        </w:rPr>
        <w:t>involvement in patients with BD.</w:t>
      </w:r>
    </w:p>
    <w:p w14:paraId="3FBF4805" w14:textId="77777777" w:rsidR="00CD0B8C" w:rsidRPr="00CD0B8C" w:rsidRDefault="00CD0B8C" w:rsidP="00CD0B8C">
      <w:pPr>
        <w:jc w:val="both"/>
        <w:rPr>
          <w:lang w:val="en-GB"/>
        </w:rPr>
      </w:pPr>
      <w:r w:rsidRPr="00CD0B8C">
        <w:rPr>
          <w:lang w:val="en-GB"/>
        </w:rPr>
        <w:t xml:space="preserve">Study design: Longitudinal, </w:t>
      </w:r>
      <w:proofErr w:type="spellStart"/>
      <w:r w:rsidRPr="00CD0B8C">
        <w:rPr>
          <w:lang w:val="en-GB"/>
        </w:rPr>
        <w:t>multicenter</w:t>
      </w:r>
      <w:proofErr w:type="spellEnd"/>
      <w:r w:rsidRPr="00CD0B8C">
        <w:rPr>
          <w:lang w:val="en-GB"/>
        </w:rPr>
        <w:t xml:space="preserve"> study using data from Reuma.pt/vasculitis.</w:t>
      </w:r>
    </w:p>
    <w:p w14:paraId="6F49D10A" w14:textId="7E1EBFDE" w:rsidR="00CD0B8C" w:rsidRPr="00CD0B8C" w:rsidRDefault="00CD0B8C" w:rsidP="00CD0B8C">
      <w:pPr>
        <w:jc w:val="both"/>
        <w:rPr>
          <w:lang w:val="en-GB"/>
        </w:rPr>
      </w:pPr>
      <w:r w:rsidRPr="00CD0B8C">
        <w:rPr>
          <w:lang w:val="en-GB"/>
        </w:rPr>
        <w:t xml:space="preserve">Population: Patients with a clinical diagnosis of BD who </w:t>
      </w:r>
      <w:proofErr w:type="spellStart"/>
      <w:r w:rsidRPr="00CD0B8C">
        <w:rPr>
          <w:lang w:val="en-GB"/>
        </w:rPr>
        <w:t>fulfill</w:t>
      </w:r>
      <w:proofErr w:type="spellEnd"/>
      <w:r w:rsidRPr="00CD0B8C">
        <w:rPr>
          <w:lang w:val="en-GB"/>
        </w:rPr>
        <w:t xml:space="preserve"> the 2013 International Criteria for Behçet´s Disease (ICBD)</w:t>
      </w:r>
      <w:r>
        <w:rPr>
          <w:lang w:val="en-GB"/>
        </w:rPr>
        <w:t xml:space="preserve"> </w:t>
      </w:r>
      <w:r w:rsidRPr="00CD0B8C">
        <w:rPr>
          <w:lang w:val="en-GB"/>
        </w:rPr>
        <w:t>will be included.</w:t>
      </w:r>
    </w:p>
    <w:p w14:paraId="1F8C310C" w14:textId="607EF0DB" w:rsidR="00CD0B8C" w:rsidRPr="00CD0B8C" w:rsidRDefault="00CD0B8C" w:rsidP="00CD0B8C">
      <w:pPr>
        <w:jc w:val="both"/>
        <w:rPr>
          <w:lang w:val="en-GB"/>
        </w:rPr>
      </w:pPr>
      <w:r w:rsidRPr="00CD0B8C">
        <w:rPr>
          <w:lang w:val="en-GB"/>
        </w:rPr>
        <w:t xml:space="preserve">Analysis plan: Data will be </w:t>
      </w:r>
      <w:proofErr w:type="spellStart"/>
      <w:r w:rsidRPr="00CD0B8C">
        <w:rPr>
          <w:lang w:val="en-GB"/>
        </w:rPr>
        <w:t>analyzed</w:t>
      </w:r>
      <w:proofErr w:type="spellEnd"/>
      <w:r w:rsidRPr="00CD0B8C">
        <w:rPr>
          <w:lang w:val="en-GB"/>
        </w:rPr>
        <w:t xml:space="preserve"> descriptively. In order to identify demographic and/or clinical variables associated</w:t>
      </w:r>
      <w:r>
        <w:rPr>
          <w:lang w:val="en-GB"/>
        </w:rPr>
        <w:t xml:space="preserve"> </w:t>
      </w:r>
      <w:r w:rsidRPr="00CD0B8C">
        <w:rPr>
          <w:lang w:val="en-GB"/>
        </w:rPr>
        <w:t>with NBD and/or VBD, chi-squared, Fisher’s exact, Mann-Whitney, or t-tests will be performed, as appropriate. Logistic</w:t>
      </w:r>
      <w:r>
        <w:rPr>
          <w:lang w:val="en-GB"/>
        </w:rPr>
        <w:t xml:space="preserve"> </w:t>
      </w:r>
      <w:r w:rsidRPr="00CD0B8C">
        <w:rPr>
          <w:lang w:val="en-GB"/>
        </w:rPr>
        <w:t>multivariable analysis will be performed to identify independent associations with NBD and VBD.</w:t>
      </w:r>
    </w:p>
    <w:p w14:paraId="2B1D3B05" w14:textId="51E070D3" w:rsidR="00CD0B8C" w:rsidRPr="00CD0B8C" w:rsidRDefault="00CD0B8C" w:rsidP="00CD0B8C">
      <w:pPr>
        <w:jc w:val="both"/>
        <w:rPr>
          <w:lang w:val="en-GB"/>
        </w:rPr>
      </w:pPr>
      <w:r w:rsidRPr="00CD0B8C">
        <w:rPr>
          <w:lang w:val="en-GB"/>
        </w:rPr>
        <w:t>Expected results: We expect to provide the rheumatology community with insights into the demographic and clinical</w:t>
      </w:r>
      <w:r>
        <w:rPr>
          <w:lang w:val="en-GB"/>
        </w:rPr>
        <w:t xml:space="preserve"> </w:t>
      </w:r>
      <w:r w:rsidRPr="00CD0B8C">
        <w:rPr>
          <w:lang w:val="en-GB"/>
        </w:rPr>
        <w:t>associations with NBD and VBD, and to potentially identify independent predictors of these involvements.</w:t>
      </w:r>
    </w:p>
    <w:sectPr w:rsidR="00CD0B8C" w:rsidRPr="00CD0B8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F0CB" w14:textId="77777777" w:rsidR="00781EA8" w:rsidRDefault="00781EA8" w:rsidP="00CD0B8C">
      <w:pPr>
        <w:spacing w:after="0" w:line="240" w:lineRule="auto"/>
      </w:pPr>
      <w:r>
        <w:separator/>
      </w:r>
    </w:p>
  </w:endnote>
  <w:endnote w:type="continuationSeparator" w:id="0">
    <w:p w14:paraId="1CCFF5A1" w14:textId="77777777" w:rsidR="00781EA8" w:rsidRDefault="00781EA8" w:rsidP="00CD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7263" w14:textId="67BB4B34" w:rsidR="00CD0B8C" w:rsidRDefault="00CD0B8C">
    <w:pPr>
      <w:pStyle w:val="Rodap"/>
    </w:pPr>
    <w:r>
      <w:rPr>
        <w:noProof/>
      </w:rPr>
      <w:drawing>
        <wp:inline distT="0" distB="0" distL="0" distR="0" wp14:anchorId="1740F03F" wp14:editId="49BCEE2C">
          <wp:extent cx="5400040" cy="498475"/>
          <wp:effectExtent l="0" t="0" r="0" b="0"/>
          <wp:docPr id="16250617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061798" name="Imagem 1625061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315" cy="50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D7F4A" w14:textId="77777777" w:rsidR="00781EA8" w:rsidRDefault="00781EA8" w:rsidP="00CD0B8C">
      <w:pPr>
        <w:spacing w:after="0" w:line="240" w:lineRule="auto"/>
      </w:pPr>
      <w:r>
        <w:separator/>
      </w:r>
    </w:p>
  </w:footnote>
  <w:footnote w:type="continuationSeparator" w:id="0">
    <w:p w14:paraId="2E9216B9" w14:textId="77777777" w:rsidR="00781EA8" w:rsidRDefault="00781EA8" w:rsidP="00CD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8EDD1" w14:textId="3433AED3" w:rsidR="00CD0B8C" w:rsidRDefault="00CD0B8C" w:rsidP="00CD0B8C">
    <w:pPr>
      <w:pStyle w:val="Cabealho"/>
      <w:ind w:left="3544"/>
    </w:pPr>
    <w:r>
      <w:rPr>
        <w:noProof/>
      </w:rPr>
      <w:drawing>
        <wp:inline distT="0" distB="0" distL="0" distR="0" wp14:anchorId="3DC6A700" wp14:editId="182736BD">
          <wp:extent cx="1371600" cy="863600"/>
          <wp:effectExtent l="0" t="0" r="0" b="0"/>
          <wp:docPr id="13724020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402051" name="Imagem 137240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C"/>
    <w:rsid w:val="002F5ABF"/>
    <w:rsid w:val="00623450"/>
    <w:rsid w:val="00781EA8"/>
    <w:rsid w:val="00816AD9"/>
    <w:rsid w:val="00AF29AB"/>
    <w:rsid w:val="00CD0B8C"/>
    <w:rsid w:val="00E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BF2D"/>
  <w15:chartTrackingRefBased/>
  <w15:docId w15:val="{ED1B4B6E-B7DE-4941-8E62-24D68814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D0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D0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0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0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0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0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0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0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0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0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D0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0B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0B8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0B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0B8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0B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0B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0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0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0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0B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0B8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0B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0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0B8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0B8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CD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0B8C"/>
  </w:style>
  <w:style w:type="paragraph" w:styleId="Rodap">
    <w:name w:val="footer"/>
    <w:basedOn w:val="Normal"/>
    <w:link w:val="RodapCarter"/>
    <w:uiPriority w:val="99"/>
    <w:unhideWhenUsed/>
    <w:rsid w:val="00CD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Reuma.pt SPR</dc:creator>
  <cp:keywords/>
  <dc:description/>
  <cp:lastModifiedBy>Reuma.pt SPR</cp:lastModifiedBy>
  <cp:revision>2</cp:revision>
  <dcterms:created xsi:type="dcterms:W3CDTF">2025-08-05T13:59:00Z</dcterms:created>
  <dcterms:modified xsi:type="dcterms:W3CDTF">2025-08-05T14:29:00Z</dcterms:modified>
</cp:coreProperties>
</file>