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4A9BD" w14:textId="77777777" w:rsidR="00CD0B8C" w:rsidRDefault="00CD0B8C" w:rsidP="00CD0B8C">
      <w:pPr>
        <w:rPr>
          <w:b/>
          <w:bCs/>
          <w:lang w:val="en-GB"/>
        </w:rPr>
      </w:pPr>
    </w:p>
    <w:p w14:paraId="70774764" w14:textId="2A47BFA6" w:rsidR="003C6BD6" w:rsidRPr="003C6BD6" w:rsidRDefault="00287035" w:rsidP="003C6BD6">
      <w:pPr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“</w:t>
      </w:r>
      <w:r w:rsidR="00C1757E" w:rsidRPr="00C1757E">
        <w:rPr>
          <w:b/>
          <w:bCs/>
          <w:color w:val="000000" w:themeColor="text1"/>
          <w:sz w:val="28"/>
          <w:szCs w:val="28"/>
          <w:lang w:val="en-GB"/>
        </w:rPr>
        <w:t>Mortality from systemic sclerosis in Portugal: results from the Rheumatic Diseases</w:t>
      </w:r>
      <w:r>
        <w:rPr>
          <w:b/>
          <w:bCs/>
          <w:sz w:val="28"/>
          <w:szCs w:val="28"/>
          <w:lang w:val="en-GB"/>
        </w:rPr>
        <w:t>”</w:t>
      </w:r>
    </w:p>
    <w:p w14:paraId="339196B0" w14:textId="027982EF" w:rsidR="00DE6BAB" w:rsidRDefault="00287035" w:rsidP="00DE6BAB">
      <w:pPr>
        <w:jc w:val="both"/>
      </w:pPr>
      <w:proofErr w:type="spellStart"/>
      <w:r w:rsidRPr="00287035">
        <w:rPr>
          <w:u w:val="single"/>
        </w:rPr>
        <w:t>Proponents</w:t>
      </w:r>
      <w:proofErr w:type="spellEnd"/>
      <w:r w:rsidRPr="00287035">
        <w:rPr>
          <w:u w:val="single"/>
        </w:rPr>
        <w:t>:</w:t>
      </w:r>
      <w:r w:rsidR="00DE6BAB">
        <w:t xml:space="preserve"> </w:t>
      </w:r>
      <w:r w:rsidR="00DE6BAB" w:rsidRPr="00DE6BAB">
        <w:t>Gonçalo Boleto</w:t>
      </w:r>
      <w:r w:rsidR="00DE6BAB" w:rsidRPr="00DE6BAB">
        <w:rPr>
          <w:vertAlign w:val="superscript"/>
        </w:rPr>
        <w:t>1</w:t>
      </w:r>
      <w:r w:rsidR="00DE6BAB" w:rsidRPr="00DE6BAB">
        <w:t>, Daniela Russell</w:t>
      </w:r>
      <w:r w:rsidR="00DE6BAB" w:rsidRPr="00DE6BAB">
        <w:rPr>
          <w:vertAlign w:val="superscript"/>
        </w:rPr>
        <w:t>1</w:t>
      </w:r>
      <w:r w:rsidR="00DE6BAB" w:rsidRPr="00DE6BAB">
        <w:t>, Mariana Pereira Silva</w:t>
      </w:r>
      <w:r w:rsidR="00DE6BAB" w:rsidRPr="00DE6BAB">
        <w:rPr>
          <w:vertAlign w:val="superscript"/>
        </w:rPr>
        <w:t>1</w:t>
      </w:r>
      <w:r w:rsidR="00DE6BAB" w:rsidRPr="00DE6BAB">
        <w:t>, Catarina Resende</w:t>
      </w:r>
      <w:r w:rsidR="00DE6BAB" w:rsidRPr="00DE6BAB">
        <w:rPr>
          <w:vertAlign w:val="superscript"/>
        </w:rPr>
        <w:t>1</w:t>
      </w:r>
      <w:r w:rsidR="00DE6BAB" w:rsidRPr="00DE6BAB">
        <w:t>, João Eurico Fonseca</w:t>
      </w:r>
      <w:r w:rsidR="00DE6BAB" w:rsidRPr="00DE6BAB">
        <w:rPr>
          <w:vertAlign w:val="superscript"/>
        </w:rPr>
        <w:t>1</w:t>
      </w:r>
    </w:p>
    <w:p w14:paraId="2ACE7987" w14:textId="2AA37EE0" w:rsidR="00780D34" w:rsidRPr="00780D34" w:rsidRDefault="00DE6BAB" w:rsidP="00DE6BAB">
      <w:pPr>
        <w:jc w:val="both"/>
        <w:rPr>
          <w:sz w:val="20"/>
          <w:szCs w:val="20"/>
        </w:rPr>
      </w:pPr>
      <w:r w:rsidRPr="00DE6BAB">
        <w:rPr>
          <w:vertAlign w:val="superscript"/>
        </w:rPr>
        <w:t>1</w:t>
      </w:r>
      <w:r w:rsidRPr="00DE6BAB">
        <w:t xml:space="preserve">Rheumatology </w:t>
      </w:r>
      <w:proofErr w:type="spellStart"/>
      <w:r w:rsidRPr="00DE6BAB">
        <w:t>Department</w:t>
      </w:r>
      <w:proofErr w:type="spellEnd"/>
      <w:r w:rsidRPr="00DE6BAB">
        <w:t>, Unidade Local de Saúde Santa Maria, Centro Académico de Medicina de Lisboa (CAML), Faculdade de Medicina, Universidade de Lisboa, CAML.</w:t>
      </w:r>
    </w:p>
    <w:p w14:paraId="2085535F" w14:textId="77777777" w:rsidR="003C6BD6" w:rsidRPr="003E4A2B" w:rsidRDefault="003C6BD6" w:rsidP="00780D34">
      <w:pPr>
        <w:jc w:val="center"/>
        <w:rPr>
          <w:b/>
          <w:bCs/>
          <w:sz w:val="28"/>
          <w:szCs w:val="28"/>
          <w:lang w:val="en-GB"/>
        </w:rPr>
      </w:pPr>
      <w:r w:rsidRPr="003E4A2B">
        <w:rPr>
          <w:b/>
          <w:bCs/>
          <w:sz w:val="28"/>
          <w:szCs w:val="28"/>
          <w:lang w:val="en-GB"/>
        </w:rPr>
        <w:t>Abstract</w:t>
      </w:r>
    </w:p>
    <w:p w14:paraId="70B91699" w14:textId="77777777" w:rsidR="003E4A2B" w:rsidRPr="00A62075" w:rsidRDefault="003E4A2B" w:rsidP="003E4A2B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A62075">
        <w:rPr>
          <w:rFonts w:ascii="Times New Roman" w:hAnsi="Times New Roman" w:cs="Times New Roman"/>
          <w:lang w:val="en-US"/>
        </w:rPr>
        <w:t>-Objectives: To identify the causes of death and risk factors associated with systemic sclerosis (</w:t>
      </w:r>
      <w:proofErr w:type="spellStart"/>
      <w:r w:rsidRPr="00A62075">
        <w:rPr>
          <w:rFonts w:ascii="Times New Roman" w:hAnsi="Times New Roman" w:cs="Times New Roman"/>
          <w:lang w:val="en-US"/>
        </w:rPr>
        <w:t>SSc</w:t>
      </w:r>
      <w:proofErr w:type="spellEnd"/>
      <w:r w:rsidRPr="00A62075">
        <w:rPr>
          <w:rFonts w:ascii="Times New Roman" w:hAnsi="Times New Roman" w:cs="Times New Roman"/>
          <w:lang w:val="en-US"/>
        </w:rPr>
        <w:t>) in Portugal.</w:t>
      </w:r>
    </w:p>
    <w:p w14:paraId="07A4D1CA" w14:textId="77777777" w:rsidR="003E4A2B" w:rsidRDefault="003E4A2B" w:rsidP="003E4A2B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A62075">
        <w:rPr>
          <w:rFonts w:ascii="Times New Roman" w:hAnsi="Times New Roman" w:cs="Times New Roman"/>
          <w:lang w:val="en-US"/>
        </w:rPr>
        <w:t xml:space="preserve">-Methods: This study will utilize the Rheumatic Diseases Portuguese Register (Reuma.pt). Patients meeting the 2013 </w:t>
      </w:r>
      <w:proofErr w:type="spellStart"/>
      <w:r w:rsidRPr="00A62075">
        <w:rPr>
          <w:rFonts w:ascii="Times New Roman" w:hAnsi="Times New Roman" w:cs="Times New Roman"/>
          <w:lang w:val="en-US"/>
        </w:rPr>
        <w:t>SSc</w:t>
      </w:r>
      <w:proofErr w:type="spellEnd"/>
      <w:r w:rsidRPr="00A62075">
        <w:rPr>
          <w:rFonts w:ascii="Times New Roman" w:hAnsi="Times New Roman" w:cs="Times New Roman"/>
          <w:lang w:val="en-US"/>
        </w:rPr>
        <w:t xml:space="preserve"> criteria will be analy</w:t>
      </w:r>
      <w:r>
        <w:rPr>
          <w:rFonts w:ascii="Times New Roman" w:hAnsi="Times New Roman" w:cs="Times New Roman"/>
          <w:lang w:val="en-US"/>
        </w:rPr>
        <w:t>z</w:t>
      </w:r>
      <w:r w:rsidRPr="00A62075">
        <w:rPr>
          <w:rFonts w:ascii="Times New Roman" w:hAnsi="Times New Roman" w:cs="Times New Roman"/>
          <w:lang w:val="en-US"/>
        </w:rPr>
        <w:t xml:space="preserve">ed. Individuals lost to follow-up over a 10-year period (2013-2023) will be cross-checked with death certificates to determine any deaths and their causes. We will then identify the risk factors associated with mortality in this population. </w:t>
      </w:r>
      <w:r>
        <w:rPr>
          <w:rFonts w:ascii="Times New Roman" w:hAnsi="Times New Roman" w:cs="Times New Roman"/>
          <w:lang w:val="en-US"/>
        </w:rPr>
        <w:t xml:space="preserve">Reuma.pt was approved by the National Board of Data Protection and by all ethic committees of the participating centers. </w:t>
      </w:r>
      <w:r w:rsidRPr="00A62075">
        <w:rPr>
          <w:rFonts w:ascii="Times New Roman" w:hAnsi="Times New Roman" w:cs="Times New Roman"/>
          <w:lang w:val="en-US"/>
        </w:rPr>
        <w:t xml:space="preserve">Participating patients have signed an informed consent authorizing the use of their data for research. </w:t>
      </w:r>
    </w:p>
    <w:p w14:paraId="5910DC91" w14:textId="77777777" w:rsidR="003E4A2B" w:rsidRPr="00A62075" w:rsidRDefault="003E4A2B" w:rsidP="003E4A2B">
      <w:pPr>
        <w:spacing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A62075">
        <w:rPr>
          <w:rFonts w:ascii="Times New Roman" w:hAnsi="Times New Roman" w:cs="Times New Roman"/>
          <w:lang w:val="en-US"/>
        </w:rPr>
        <w:t>Th</w:t>
      </w:r>
      <w:r>
        <w:rPr>
          <w:rFonts w:ascii="Times New Roman" w:hAnsi="Times New Roman" w:cs="Times New Roman"/>
          <w:lang w:val="en-US"/>
        </w:rPr>
        <w:t>is study</w:t>
      </w:r>
      <w:r w:rsidRPr="00A62075">
        <w:rPr>
          <w:rFonts w:ascii="Times New Roman" w:hAnsi="Times New Roman" w:cs="Times New Roman"/>
          <w:lang w:val="en-US"/>
        </w:rPr>
        <w:t xml:space="preserve"> </w:t>
      </w:r>
      <w:r w:rsidRPr="00687339">
        <w:rPr>
          <w:rFonts w:ascii="Times New Roman" w:hAnsi="Times New Roman" w:cs="Times New Roman"/>
          <w:lang w:val="en-US"/>
        </w:rPr>
        <w:t>(</w:t>
      </w:r>
      <w:r w:rsidRPr="00A62075">
        <w:rPr>
          <w:rFonts w:ascii="Times New Roman" w:hAnsi="Times New Roman" w:cs="Times New Roman"/>
          <w:lang w:val="en-US"/>
        </w:rPr>
        <w:t>Mortality from systemic sclerosis in Portugal: results from the Rheumatic Diseases Portuguese Register (Reuma.pt))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was approved by</w:t>
      </w:r>
      <w:r w:rsidRPr="00A62075">
        <w:rPr>
          <w:rFonts w:ascii="Times New Roman" w:hAnsi="Times New Roman" w:cs="Times New Roman"/>
          <w:lang w:val="en-US"/>
        </w:rPr>
        <w:t xml:space="preserve"> the Centro </w:t>
      </w:r>
      <w:proofErr w:type="spellStart"/>
      <w:r w:rsidRPr="00A62075">
        <w:rPr>
          <w:rFonts w:ascii="Times New Roman" w:hAnsi="Times New Roman" w:cs="Times New Roman"/>
          <w:lang w:val="en-US"/>
        </w:rPr>
        <w:t>Académico</w:t>
      </w:r>
      <w:proofErr w:type="spellEnd"/>
      <w:r w:rsidRPr="00A62075">
        <w:rPr>
          <w:rFonts w:ascii="Times New Roman" w:hAnsi="Times New Roman" w:cs="Times New Roman"/>
          <w:lang w:val="en-US"/>
        </w:rPr>
        <w:t xml:space="preserve"> de Medicina de Lisboa (CAML) ethical committee </w:t>
      </w:r>
      <w:r>
        <w:rPr>
          <w:rFonts w:ascii="Times New Roman" w:hAnsi="Times New Roman" w:cs="Times New Roman"/>
          <w:lang w:val="en-US"/>
        </w:rPr>
        <w:t xml:space="preserve">under reference number 244/24. In </w:t>
      </w:r>
      <w:proofErr w:type="gramStart"/>
      <w:r>
        <w:rPr>
          <w:rFonts w:ascii="Times New Roman" w:hAnsi="Times New Roman" w:cs="Times New Roman"/>
          <w:lang w:val="en-US"/>
        </w:rPr>
        <w:t>the  submission</w:t>
      </w:r>
      <w:proofErr w:type="gramEnd"/>
      <w:r>
        <w:rPr>
          <w:rFonts w:ascii="Times New Roman" w:hAnsi="Times New Roman" w:cs="Times New Roman"/>
          <w:lang w:val="en-US"/>
        </w:rPr>
        <w:t xml:space="preserve"> to the CAML ethics committee the requirement for crossing data from SICO to Reuma.pt is clearly stated and was formally approved.</w:t>
      </w:r>
    </w:p>
    <w:p w14:paraId="2B1D3B05" w14:textId="05264409" w:rsidR="00CD0B8C" w:rsidRPr="00C1757E" w:rsidRDefault="00CD0B8C" w:rsidP="003C6BD6">
      <w:pPr>
        <w:jc w:val="both"/>
        <w:rPr>
          <w:lang w:val="en-US"/>
        </w:rPr>
      </w:pPr>
    </w:p>
    <w:sectPr w:rsidR="00CD0B8C" w:rsidRPr="00C1757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EFAD7" w14:textId="77777777" w:rsidR="007D7391" w:rsidRDefault="007D7391" w:rsidP="00CD0B8C">
      <w:pPr>
        <w:spacing w:after="0" w:line="240" w:lineRule="auto"/>
      </w:pPr>
      <w:r>
        <w:separator/>
      </w:r>
    </w:p>
  </w:endnote>
  <w:endnote w:type="continuationSeparator" w:id="0">
    <w:p w14:paraId="6E69B4EF" w14:textId="77777777" w:rsidR="007D7391" w:rsidRDefault="007D7391" w:rsidP="00CD0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C7263" w14:textId="67BB4B34" w:rsidR="00CD0B8C" w:rsidRDefault="00CD0B8C">
    <w:pPr>
      <w:pStyle w:val="Rodap"/>
    </w:pPr>
    <w:r>
      <w:rPr>
        <w:noProof/>
      </w:rPr>
      <w:drawing>
        <wp:inline distT="0" distB="0" distL="0" distR="0" wp14:anchorId="1740F03F" wp14:editId="49BCEE2C">
          <wp:extent cx="5400040" cy="498475"/>
          <wp:effectExtent l="0" t="0" r="0" b="0"/>
          <wp:docPr id="162506179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5061798" name="Imagem 16250617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8315" cy="500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E0440" w14:textId="77777777" w:rsidR="007D7391" w:rsidRDefault="007D7391" w:rsidP="00CD0B8C">
      <w:pPr>
        <w:spacing w:after="0" w:line="240" w:lineRule="auto"/>
      </w:pPr>
      <w:r>
        <w:separator/>
      </w:r>
    </w:p>
  </w:footnote>
  <w:footnote w:type="continuationSeparator" w:id="0">
    <w:p w14:paraId="6885EC3B" w14:textId="77777777" w:rsidR="007D7391" w:rsidRDefault="007D7391" w:rsidP="00CD0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8EDD1" w14:textId="3433AED3" w:rsidR="00CD0B8C" w:rsidRDefault="00CD0B8C" w:rsidP="00CD0B8C">
    <w:pPr>
      <w:pStyle w:val="Cabealho"/>
      <w:ind w:left="3544"/>
    </w:pPr>
    <w:r>
      <w:rPr>
        <w:noProof/>
      </w:rPr>
      <w:drawing>
        <wp:inline distT="0" distB="0" distL="0" distR="0" wp14:anchorId="3DC6A700" wp14:editId="182736BD">
          <wp:extent cx="1371600" cy="863600"/>
          <wp:effectExtent l="0" t="0" r="0" b="0"/>
          <wp:docPr id="137240205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2402051" name="Imagem 13724020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86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B8C"/>
    <w:rsid w:val="00287035"/>
    <w:rsid w:val="002D399D"/>
    <w:rsid w:val="002F5ABF"/>
    <w:rsid w:val="003C6BD6"/>
    <w:rsid w:val="003E4A2B"/>
    <w:rsid w:val="003E4F6D"/>
    <w:rsid w:val="005F4211"/>
    <w:rsid w:val="00623450"/>
    <w:rsid w:val="00780D34"/>
    <w:rsid w:val="00781EA8"/>
    <w:rsid w:val="007D7391"/>
    <w:rsid w:val="00816AD9"/>
    <w:rsid w:val="00AF29AB"/>
    <w:rsid w:val="00C1757E"/>
    <w:rsid w:val="00CD0B8C"/>
    <w:rsid w:val="00DE6BAB"/>
    <w:rsid w:val="00EF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4BF2D"/>
  <w15:chartTrackingRefBased/>
  <w15:docId w15:val="{ED1B4B6E-B7DE-4941-8E62-24D68814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CD0B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CD0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CD0B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CD0B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CD0B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CD0B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CD0B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CD0B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CD0B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CD0B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CD0B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CD0B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CD0B8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CD0B8C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CD0B8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CD0B8C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CD0B8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CD0B8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CD0B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CD0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CD0B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CD0B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CD0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CD0B8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D0B8C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CD0B8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CD0B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CD0B8C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CD0B8C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CD0B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D0B8C"/>
  </w:style>
  <w:style w:type="paragraph" w:styleId="Rodap">
    <w:name w:val="footer"/>
    <w:basedOn w:val="Normal"/>
    <w:link w:val="RodapCarter"/>
    <w:uiPriority w:val="99"/>
    <w:unhideWhenUsed/>
    <w:rsid w:val="00CD0B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D0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Reuma.pt SPR</dc:creator>
  <cp:keywords/>
  <dc:description/>
  <cp:lastModifiedBy>Reuma.pt SPR</cp:lastModifiedBy>
  <cp:revision>2</cp:revision>
  <dcterms:created xsi:type="dcterms:W3CDTF">2025-08-06T10:26:00Z</dcterms:created>
  <dcterms:modified xsi:type="dcterms:W3CDTF">2025-08-06T10:26:00Z</dcterms:modified>
</cp:coreProperties>
</file>