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4A9BD" w14:textId="77777777" w:rsidR="00CD0B8C" w:rsidRDefault="00CD0B8C" w:rsidP="00CD0B8C">
      <w:pPr>
        <w:rPr>
          <w:b/>
          <w:bCs/>
          <w:lang w:val="en-GB"/>
        </w:rPr>
      </w:pPr>
    </w:p>
    <w:p w14:paraId="5BA2FF4F" w14:textId="77777777" w:rsidR="006B027F" w:rsidRPr="006B027F" w:rsidRDefault="006B027F" w:rsidP="006B027F">
      <w:pPr>
        <w:spacing w:after="0" w:line="480" w:lineRule="auto"/>
        <w:jc w:val="both"/>
      </w:pPr>
    </w:p>
    <w:p w14:paraId="17296E37" w14:textId="636E2D05" w:rsidR="006B027F" w:rsidRPr="001F5506" w:rsidRDefault="006B027F" w:rsidP="001F5506">
      <w:pPr>
        <w:spacing w:after="0" w:line="360" w:lineRule="auto"/>
        <w:jc w:val="center"/>
        <w:rPr>
          <w:sz w:val="28"/>
          <w:szCs w:val="28"/>
          <w:lang w:val="en-GB"/>
        </w:rPr>
      </w:pPr>
      <w:r w:rsidRPr="001F5506">
        <w:rPr>
          <w:sz w:val="28"/>
          <w:szCs w:val="28"/>
          <w:lang w:val="en-GB"/>
        </w:rPr>
        <w:t>“</w:t>
      </w:r>
      <w:r w:rsidRPr="001F5506">
        <w:rPr>
          <w:b/>
          <w:bCs/>
          <w:sz w:val="28"/>
          <w:szCs w:val="28"/>
          <w:lang w:val="en-GB"/>
        </w:rPr>
        <w:t>Renal Impact of Early Response in Lupus Nephritis - Predictive Value of Proteinuria and Estimated Glomerular Filtration Rate for Progression to Death or End-Stage Renal Disease</w:t>
      </w:r>
      <w:r w:rsidRPr="001F5506">
        <w:rPr>
          <w:b/>
          <w:bCs/>
          <w:sz w:val="28"/>
          <w:szCs w:val="28"/>
          <w:lang w:val="en-GB"/>
        </w:rPr>
        <w:t>”</w:t>
      </w:r>
    </w:p>
    <w:p w14:paraId="30E4BE63" w14:textId="77777777" w:rsidR="001F5506" w:rsidRDefault="001F5506" w:rsidP="006B027F">
      <w:pPr>
        <w:spacing w:after="0" w:line="480" w:lineRule="auto"/>
        <w:jc w:val="both"/>
        <w:rPr>
          <w:u w:val="single"/>
        </w:rPr>
      </w:pPr>
    </w:p>
    <w:p w14:paraId="2B75F8C4" w14:textId="2319D3F2" w:rsidR="006B027F" w:rsidRPr="006B027F" w:rsidRDefault="001F5506" w:rsidP="006B027F">
      <w:pPr>
        <w:spacing w:after="0" w:line="480" w:lineRule="auto"/>
        <w:jc w:val="both"/>
      </w:pPr>
      <w:r w:rsidRPr="00287035">
        <w:rPr>
          <w:u w:val="single"/>
        </w:rPr>
        <w:t>Proponents</w:t>
      </w:r>
      <w:r>
        <w:rPr>
          <w:u w:val="single"/>
        </w:rPr>
        <w:t>:</w:t>
      </w:r>
      <w:r w:rsidRPr="006B027F">
        <w:t xml:space="preserve"> </w:t>
      </w:r>
      <w:r w:rsidR="006B027F" w:rsidRPr="006B027F">
        <w:t>Hugo Gonçalves¹, Mariana Pinheiro¹, Paulo Pereira¹, Joana Costa</w:t>
      </w:r>
      <w:r w:rsidR="006B027F" w:rsidRPr="001F5506">
        <w:rPr>
          <w:vertAlign w:val="superscript"/>
        </w:rPr>
        <w:t>2</w:t>
      </w:r>
      <w:r w:rsidR="006B027F" w:rsidRPr="006B027F">
        <w:t>, Raquel Vaz</w:t>
      </w:r>
      <w:r w:rsidR="006B027F" w:rsidRPr="001F5506">
        <w:rPr>
          <w:vertAlign w:val="superscript"/>
        </w:rPr>
        <w:t>2</w:t>
      </w:r>
      <w:r w:rsidR="006B027F" w:rsidRPr="006B027F">
        <w:t>, Catarina Teixeira</w:t>
      </w:r>
      <w:r w:rsidR="006B027F" w:rsidRPr="001F5506">
        <w:rPr>
          <w:vertAlign w:val="superscript"/>
        </w:rPr>
        <w:t>2</w:t>
      </w:r>
      <w:r w:rsidR="006B027F" w:rsidRPr="006B027F">
        <w:t xml:space="preserve">, Diogo Esperança Almeida¹, Joana Leite Silva¹ </w:t>
      </w:r>
    </w:p>
    <w:p w14:paraId="67D5474D" w14:textId="77777777" w:rsidR="006B027F" w:rsidRPr="006B027F" w:rsidRDefault="006B027F" w:rsidP="006B027F">
      <w:pPr>
        <w:spacing w:after="0" w:line="480" w:lineRule="auto"/>
        <w:jc w:val="both"/>
      </w:pPr>
      <w:r w:rsidRPr="006B027F">
        <w:t xml:space="preserve">¹Rheumatology Department, Hospital de Braga, Braga, Portugal </w:t>
      </w:r>
    </w:p>
    <w:p w14:paraId="7C1D357A" w14:textId="77777777" w:rsidR="006B027F" w:rsidRPr="006B027F" w:rsidRDefault="006B027F" w:rsidP="006B027F">
      <w:pPr>
        <w:spacing w:after="0" w:line="480" w:lineRule="auto"/>
        <w:jc w:val="both"/>
      </w:pPr>
      <w:r w:rsidRPr="006B027F">
        <w:t xml:space="preserve">² Nephrology Department, Hospital de Braga, Braga, Portugal. </w:t>
      </w:r>
    </w:p>
    <w:p w14:paraId="05BF8623" w14:textId="77777777" w:rsidR="00EA4C27" w:rsidRDefault="00EA4C27" w:rsidP="006B027F">
      <w:pPr>
        <w:spacing w:after="0" w:line="480" w:lineRule="auto"/>
        <w:jc w:val="center"/>
        <w:rPr>
          <w:lang w:val="en-GB"/>
        </w:rPr>
      </w:pPr>
    </w:p>
    <w:p w14:paraId="27F8AE88" w14:textId="433C9226" w:rsidR="006B027F" w:rsidRPr="001F5506" w:rsidRDefault="006B027F" w:rsidP="006B027F">
      <w:pPr>
        <w:spacing w:after="0" w:line="480" w:lineRule="auto"/>
        <w:jc w:val="center"/>
        <w:rPr>
          <w:sz w:val="28"/>
          <w:szCs w:val="28"/>
          <w:lang w:val="en-GB"/>
        </w:rPr>
      </w:pPr>
      <w:r w:rsidRPr="001F5506">
        <w:rPr>
          <w:b/>
          <w:bCs/>
          <w:sz w:val="28"/>
          <w:szCs w:val="28"/>
          <w:lang w:val="en-GB"/>
        </w:rPr>
        <w:t>Abstract</w:t>
      </w:r>
    </w:p>
    <w:p w14:paraId="302E803E" w14:textId="5C4DB4A1" w:rsidR="006B027F" w:rsidRPr="006B027F" w:rsidRDefault="006B027F" w:rsidP="006B027F">
      <w:pPr>
        <w:spacing w:after="0" w:line="480" w:lineRule="auto"/>
        <w:jc w:val="both"/>
        <w:rPr>
          <w:lang w:val="en-GB"/>
        </w:rPr>
      </w:pPr>
      <w:r w:rsidRPr="006B027F">
        <w:rPr>
          <w:lang w:val="en-GB"/>
        </w:rPr>
        <w:t>Lupus nephritis (LN) is a form of glomerulonephritis and one of the most severe manifestations of systemic lupus erythematosus (SLE), affecting up to 40% of patients and being associated with significant risk of end-stage renal disease (ESRD) and death. It occurs most frequently within the first 5 years of SLE and in many cases, it can be the presenting manifestation</w:t>
      </w:r>
      <w:r w:rsidR="00EA4C27">
        <w:rPr>
          <w:lang w:val="en-GB"/>
        </w:rPr>
        <w:t>.</w:t>
      </w:r>
      <w:r w:rsidRPr="006B027F">
        <w:rPr>
          <w:lang w:val="en-GB"/>
        </w:rPr>
        <w:t xml:space="preserve"> </w:t>
      </w:r>
    </w:p>
    <w:p w14:paraId="02FA9E72" w14:textId="1F5BC5B7" w:rsidR="006B027F" w:rsidRPr="006B027F" w:rsidRDefault="006B027F" w:rsidP="006B027F">
      <w:pPr>
        <w:spacing w:after="0" w:line="480" w:lineRule="auto"/>
        <w:jc w:val="both"/>
        <w:rPr>
          <w:lang w:val="en-GB"/>
        </w:rPr>
      </w:pPr>
      <w:r w:rsidRPr="006B027F">
        <w:rPr>
          <w:lang w:val="en-GB"/>
        </w:rPr>
        <w:t xml:space="preserve">Current international guidelines recommend different therapeutic approaches to LN, but all combine immunomodulatory and kidney protective non-immunosuppressive treatments. Despite major advances in treatment, a substantial proportion of patients still develop long term renal damage, making the early recognition of those at higher risk of end-stage renal disease and death a key clinical objective. </w:t>
      </w:r>
    </w:p>
    <w:p w14:paraId="2B1D3B05" w14:textId="5D8713EE" w:rsidR="00CD0B8C" w:rsidRPr="006B027F" w:rsidRDefault="006B027F" w:rsidP="006B027F">
      <w:pPr>
        <w:spacing w:after="0" w:line="480" w:lineRule="auto"/>
        <w:jc w:val="both"/>
        <w:rPr>
          <w:lang w:val="en-GB"/>
        </w:rPr>
      </w:pPr>
      <w:r w:rsidRPr="006B027F">
        <w:rPr>
          <w:lang w:val="en-GB"/>
        </w:rPr>
        <w:lastRenderedPageBreak/>
        <w:t xml:space="preserve">Several predictors of poor outcomes have been proposed. For mortality, identified risk factors include acute renal injury at presentation, failure to achieve remission at </w:t>
      </w:r>
      <w:r w:rsidR="00EA4C27" w:rsidRPr="006B027F">
        <w:rPr>
          <w:lang w:val="en-GB"/>
        </w:rPr>
        <w:t>1-year</w:t>
      </w:r>
      <w:r w:rsidRPr="006B027F">
        <w:rPr>
          <w:lang w:val="en-GB"/>
        </w:rPr>
        <w:t xml:space="preserve"> post-treatment, non-compliance with treatment, 12-months eGFR below 77 mL/min/1.73 m2, development of ESRD and persistent isolated low C3. With respect to ESRD, proposed predictors include absence of renal response at 6 months, 12 months persistent proteinuria above 0.7-0.9 g/day, serum creatinine above 1.3 mg/dL at 12 months, and persistent isolated low C3.</w:t>
      </w:r>
    </w:p>
    <w:sectPr w:rsidR="00CD0B8C" w:rsidRPr="006B027F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ABB76" w14:textId="77777777" w:rsidR="00F13B28" w:rsidRDefault="00F13B28" w:rsidP="00CD0B8C">
      <w:pPr>
        <w:spacing w:after="0" w:line="240" w:lineRule="auto"/>
      </w:pPr>
      <w:r>
        <w:separator/>
      </w:r>
    </w:p>
  </w:endnote>
  <w:endnote w:type="continuationSeparator" w:id="0">
    <w:p w14:paraId="00E7CA07" w14:textId="77777777" w:rsidR="00F13B28" w:rsidRDefault="00F13B28" w:rsidP="00CD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C7263" w14:textId="67BB4B34" w:rsidR="00CD0B8C" w:rsidRDefault="00CD0B8C">
    <w:pPr>
      <w:pStyle w:val="Rodap"/>
    </w:pPr>
    <w:r>
      <w:rPr>
        <w:noProof/>
      </w:rPr>
      <w:drawing>
        <wp:inline distT="0" distB="0" distL="0" distR="0" wp14:anchorId="1740F03F" wp14:editId="49BCEE2C">
          <wp:extent cx="5400040" cy="498475"/>
          <wp:effectExtent l="0" t="0" r="0" b="0"/>
          <wp:docPr id="162506179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061798" name="Imagem 16250617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8315" cy="500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AD56B" w14:textId="77777777" w:rsidR="00F13B28" w:rsidRDefault="00F13B28" w:rsidP="00CD0B8C">
      <w:pPr>
        <w:spacing w:after="0" w:line="240" w:lineRule="auto"/>
      </w:pPr>
      <w:r>
        <w:separator/>
      </w:r>
    </w:p>
  </w:footnote>
  <w:footnote w:type="continuationSeparator" w:id="0">
    <w:p w14:paraId="2E81F058" w14:textId="77777777" w:rsidR="00F13B28" w:rsidRDefault="00F13B28" w:rsidP="00CD0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EDD1" w14:textId="3433AED3" w:rsidR="00CD0B8C" w:rsidRDefault="00CD0B8C" w:rsidP="00CD0B8C">
    <w:pPr>
      <w:pStyle w:val="Cabealho"/>
      <w:ind w:left="3544"/>
    </w:pPr>
    <w:r>
      <w:rPr>
        <w:noProof/>
      </w:rPr>
      <w:drawing>
        <wp:inline distT="0" distB="0" distL="0" distR="0" wp14:anchorId="3DC6A700" wp14:editId="182736BD">
          <wp:extent cx="1371600" cy="863600"/>
          <wp:effectExtent l="0" t="0" r="0" b="0"/>
          <wp:docPr id="13724020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402051" name="Imagem 13724020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B8C"/>
    <w:rsid w:val="001960F2"/>
    <w:rsid w:val="001F5506"/>
    <w:rsid w:val="00287035"/>
    <w:rsid w:val="002D03BA"/>
    <w:rsid w:val="002D399D"/>
    <w:rsid w:val="002F5ABF"/>
    <w:rsid w:val="003C6BD6"/>
    <w:rsid w:val="003E4F6D"/>
    <w:rsid w:val="00623450"/>
    <w:rsid w:val="006B027F"/>
    <w:rsid w:val="00781EA8"/>
    <w:rsid w:val="00816AD9"/>
    <w:rsid w:val="00837A9C"/>
    <w:rsid w:val="00873400"/>
    <w:rsid w:val="009D4AEF"/>
    <w:rsid w:val="00A25170"/>
    <w:rsid w:val="00AF29AB"/>
    <w:rsid w:val="00B5771A"/>
    <w:rsid w:val="00CD0B8C"/>
    <w:rsid w:val="00EA4C27"/>
    <w:rsid w:val="00EF147B"/>
    <w:rsid w:val="00F13B28"/>
    <w:rsid w:val="00FD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4BF2D"/>
  <w15:chartTrackingRefBased/>
  <w15:docId w15:val="{ED1B4B6E-B7DE-4941-8E62-24D68814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CD0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D0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D0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D0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D0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D0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D0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D0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D0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D0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D0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D0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D0B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D0B8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D0B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D0B8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D0B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D0B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D0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D0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D0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D0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D0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D0B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D0B8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D0B8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D0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D0B8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D0B8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CD0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D0B8C"/>
  </w:style>
  <w:style w:type="paragraph" w:styleId="Rodap">
    <w:name w:val="footer"/>
    <w:basedOn w:val="Normal"/>
    <w:link w:val="RodapCarter"/>
    <w:uiPriority w:val="99"/>
    <w:unhideWhenUsed/>
    <w:rsid w:val="00CD0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D0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278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Reuma.pt SPR</dc:creator>
  <cp:keywords/>
  <dc:description/>
  <cp:lastModifiedBy>Reuma.pt SPR</cp:lastModifiedBy>
  <cp:revision>14</cp:revision>
  <dcterms:created xsi:type="dcterms:W3CDTF">2025-08-05T13:59:00Z</dcterms:created>
  <dcterms:modified xsi:type="dcterms:W3CDTF">2026-10-22T15:50:00Z</dcterms:modified>
</cp:coreProperties>
</file>