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9BD" w14:textId="77777777" w:rsidR="00CD0B8C" w:rsidRDefault="00CD0B8C" w:rsidP="00CD0B8C">
      <w:pPr>
        <w:rPr>
          <w:b/>
          <w:bCs/>
          <w:lang w:val="en-GB"/>
        </w:rPr>
      </w:pPr>
    </w:p>
    <w:p w14:paraId="3C9FAE69" w14:textId="77777777" w:rsidR="00837A9C" w:rsidRPr="00837A9C" w:rsidRDefault="00287035" w:rsidP="00837A9C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“</w:t>
      </w:r>
      <w:r w:rsidR="00837A9C" w:rsidRPr="00837A9C">
        <w:rPr>
          <w:b/>
          <w:bCs/>
          <w:sz w:val="28"/>
          <w:szCs w:val="28"/>
          <w:lang w:val="en-GB"/>
        </w:rPr>
        <w:t>Characterization of Axial Spondyloarthritis in Portugal and</w:t>
      </w:r>
    </w:p>
    <w:p w14:paraId="54F2B761" w14:textId="77777777" w:rsidR="00837A9C" w:rsidRPr="00837A9C" w:rsidRDefault="00837A9C" w:rsidP="00837A9C">
      <w:pPr>
        <w:jc w:val="center"/>
        <w:rPr>
          <w:b/>
          <w:bCs/>
          <w:sz w:val="28"/>
          <w:szCs w:val="28"/>
          <w:lang w:val="en-GB"/>
        </w:rPr>
      </w:pPr>
      <w:r w:rsidRPr="00837A9C">
        <w:rPr>
          <w:b/>
          <w:bCs/>
          <w:sz w:val="28"/>
          <w:szCs w:val="28"/>
          <w:lang w:val="en-GB"/>
        </w:rPr>
        <w:t>Comparative Effectiveness of TNF and IL-17 Inhibitors According to</w:t>
      </w:r>
    </w:p>
    <w:p w14:paraId="70774764" w14:textId="7E71D7C8" w:rsidR="003C6BD6" w:rsidRPr="001960F2" w:rsidRDefault="00837A9C" w:rsidP="00837A9C">
      <w:pPr>
        <w:jc w:val="center"/>
        <w:rPr>
          <w:b/>
          <w:bCs/>
          <w:sz w:val="28"/>
          <w:szCs w:val="28"/>
        </w:rPr>
      </w:pPr>
      <w:proofErr w:type="spellStart"/>
      <w:r w:rsidRPr="00837A9C">
        <w:rPr>
          <w:b/>
          <w:bCs/>
          <w:sz w:val="28"/>
          <w:szCs w:val="28"/>
        </w:rPr>
        <w:t>Baseline</w:t>
      </w:r>
      <w:proofErr w:type="spellEnd"/>
      <w:r w:rsidRPr="00837A9C">
        <w:rPr>
          <w:b/>
          <w:bCs/>
          <w:sz w:val="28"/>
          <w:szCs w:val="28"/>
        </w:rPr>
        <w:t xml:space="preserve"> CRP </w:t>
      </w:r>
      <w:proofErr w:type="spellStart"/>
      <w:r w:rsidRPr="00837A9C">
        <w:rPr>
          <w:b/>
          <w:bCs/>
          <w:sz w:val="28"/>
          <w:szCs w:val="28"/>
        </w:rPr>
        <w:t>Levels</w:t>
      </w:r>
      <w:proofErr w:type="spellEnd"/>
      <w:r w:rsidR="00287035" w:rsidRPr="001960F2">
        <w:rPr>
          <w:b/>
          <w:bCs/>
          <w:sz w:val="28"/>
          <w:szCs w:val="28"/>
        </w:rPr>
        <w:t>”</w:t>
      </w:r>
    </w:p>
    <w:p w14:paraId="6BF9C054" w14:textId="0DDB29FB" w:rsidR="00837A9C" w:rsidRPr="00837A9C" w:rsidRDefault="00287035" w:rsidP="00837A9C">
      <w:pPr>
        <w:jc w:val="both"/>
      </w:pPr>
      <w:proofErr w:type="spellStart"/>
      <w:r w:rsidRPr="00287035">
        <w:rPr>
          <w:u w:val="single"/>
        </w:rPr>
        <w:t>Proponents</w:t>
      </w:r>
      <w:proofErr w:type="spellEnd"/>
      <w:r w:rsidRPr="00287035">
        <w:rPr>
          <w:u w:val="single"/>
        </w:rPr>
        <w:t>:</w:t>
      </w:r>
      <w:r>
        <w:t xml:space="preserve"> </w:t>
      </w:r>
      <w:r w:rsidR="00837A9C" w:rsidRPr="00837A9C">
        <w:t>Alexandre Sepriano</w:t>
      </w:r>
      <w:r w:rsidR="00837A9C" w:rsidRPr="00837A9C">
        <w:rPr>
          <w:vertAlign w:val="superscript"/>
        </w:rPr>
        <w:t>1, 2,</w:t>
      </w:r>
      <w:r w:rsidR="00837A9C" w:rsidRPr="00837A9C">
        <w:t xml:space="preserve"> Sofia Ramiro</w:t>
      </w:r>
      <w:r w:rsidR="00837A9C">
        <w:t xml:space="preserve"> </w:t>
      </w:r>
      <w:r w:rsidR="00837A9C" w:rsidRPr="00837A9C">
        <w:rPr>
          <w:vertAlign w:val="superscript"/>
        </w:rPr>
        <w:t>3, 4</w:t>
      </w:r>
      <w:r w:rsidR="00837A9C" w:rsidRPr="00837A9C">
        <w:t>, Joana Tremoceiro</w:t>
      </w:r>
      <w:r w:rsidR="00837A9C" w:rsidRPr="00837A9C">
        <w:rPr>
          <w:vertAlign w:val="superscript"/>
        </w:rPr>
        <w:t>1</w:t>
      </w:r>
      <w:r w:rsidR="00837A9C" w:rsidRPr="00837A9C">
        <w:t>, Luana Lopes</w:t>
      </w:r>
      <w:r w:rsidR="00837A9C" w:rsidRPr="00837A9C">
        <w:rPr>
          <w:vertAlign w:val="superscript"/>
        </w:rPr>
        <w:t>1</w:t>
      </w:r>
    </w:p>
    <w:p w14:paraId="1FF3243F" w14:textId="77777777" w:rsidR="00837A9C" w:rsidRDefault="00837A9C" w:rsidP="00837A9C">
      <w:pPr>
        <w:jc w:val="both"/>
      </w:pPr>
      <w:r w:rsidRPr="00837A9C">
        <w:rPr>
          <w:vertAlign w:val="superscript"/>
        </w:rPr>
        <w:t>1</w:t>
      </w:r>
      <w:r w:rsidRPr="00837A9C">
        <w:t xml:space="preserve">Serviço de Reumatologia, Centro Hospitalar Lisboa Ocidental, Lisboa, Portugal, </w:t>
      </w:r>
      <w:r w:rsidRPr="00837A9C">
        <w:rPr>
          <w:vertAlign w:val="superscript"/>
        </w:rPr>
        <w:t>2</w:t>
      </w:r>
      <w:r w:rsidRPr="00837A9C">
        <w:t>Universidade Nova de Lisboa, Nova</w:t>
      </w:r>
      <w:r>
        <w:t xml:space="preserve"> </w:t>
      </w:r>
      <w:r w:rsidRPr="00837A9C">
        <w:t xml:space="preserve">Medical </w:t>
      </w:r>
      <w:proofErr w:type="spellStart"/>
      <w:r w:rsidRPr="00837A9C">
        <w:t>School</w:t>
      </w:r>
      <w:proofErr w:type="spellEnd"/>
      <w:r w:rsidRPr="00837A9C">
        <w:t xml:space="preserve">, Lisboa, Portugal, </w:t>
      </w:r>
    </w:p>
    <w:p w14:paraId="5CC36289" w14:textId="4EA80C78" w:rsidR="00837A9C" w:rsidRPr="00837A9C" w:rsidRDefault="00837A9C" w:rsidP="00837A9C">
      <w:pPr>
        <w:jc w:val="both"/>
        <w:rPr>
          <w:lang w:val="en-GB"/>
        </w:rPr>
      </w:pPr>
      <w:r w:rsidRPr="00837A9C">
        <w:rPr>
          <w:vertAlign w:val="superscript"/>
          <w:lang w:val="en-GB"/>
        </w:rPr>
        <w:t>3</w:t>
      </w:r>
      <w:r w:rsidRPr="00837A9C">
        <w:rPr>
          <w:lang w:val="en-GB"/>
        </w:rPr>
        <w:t xml:space="preserve">Leiden University Medical </w:t>
      </w:r>
      <w:proofErr w:type="spellStart"/>
      <w:r w:rsidRPr="00837A9C">
        <w:rPr>
          <w:lang w:val="en-GB"/>
        </w:rPr>
        <w:t>Center</w:t>
      </w:r>
      <w:proofErr w:type="spellEnd"/>
      <w:r w:rsidRPr="00837A9C">
        <w:rPr>
          <w:lang w:val="en-GB"/>
        </w:rPr>
        <w:t xml:space="preserve">, Leiden, Netherlands, </w:t>
      </w:r>
    </w:p>
    <w:p w14:paraId="7C0E7D81" w14:textId="2291C715" w:rsidR="003C6BD6" w:rsidRPr="00837A9C" w:rsidRDefault="00837A9C" w:rsidP="00837A9C">
      <w:pPr>
        <w:jc w:val="both"/>
        <w:rPr>
          <w:lang w:val="en-GB"/>
        </w:rPr>
      </w:pPr>
      <w:r w:rsidRPr="00837A9C">
        <w:rPr>
          <w:vertAlign w:val="superscript"/>
          <w:lang w:val="en-GB"/>
        </w:rPr>
        <w:t>4</w:t>
      </w:r>
      <w:r w:rsidRPr="00837A9C">
        <w:rPr>
          <w:lang w:val="en-GB"/>
        </w:rPr>
        <w:t xml:space="preserve">Zuyderland Medical </w:t>
      </w:r>
      <w:proofErr w:type="spellStart"/>
      <w:r w:rsidRPr="00837A9C">
        <w:rPr>
          <w:lang w:val="en-GB"/>
        </w:rPr>
        <w:t>Center</w:t>
      </w:r>
      <w:proofErr w:type="spellEnd"/>
      <w:r w:rsidRPr="00837A9C">
        <w:rPr>
          <w:lang w:val="en-GB"/>
        </w:rPr>
        <w:t>,</w:t>
      </w:r>
      <w:r w:rsidRPr="00837A9C">
        <w:rPr>
          <w:lang w:val="en-GB"/>
        </w:rPr>
        <w:t xml:space="preserve"> </w:t>
      </w:r>
      <w:r w:rsidRPr="00837A9C">
        <w:rPr>
          <w:lang w:val="en-GB"/>
        </w:rPr>
        <w:t>Heerlen, Netherlands</w:t>
      </w:r>
      <w:r>
        <w:rPr>
          <w:lang w:val="en-GB"/>
        </w:rPr>
        <w:t>.</w:t>
      </w:r>
    </w:p>
    <w:p w14:paraId="3508977B" w14:textId="77777777" w:rsidR="001960F2" w:rsidRPr="00837A9C" w:rsidRDefault="001960F2" w:rsidP="001960F2">
      <w:pPr>
        <w:jc w:val="both"/>
        <w:rPr>
          <w:lang w:val="en-GB"/>
        </w:rPr>
      </w:pPr>
    </w:p>
    <w:p w14:paraId="2085535F" w14:textId="77777777" w:rsidR="003C6BD6" w:rsidRPr="00837A9C" w:rsidRDefault="003C6BD6" w:rsidP="001960F2">
      <w:pPr>
        <w:jc w:val="center"/>
        <w:rPr>
          <w:b/>
          <w:bCs/>
          <w:sz w:val="28"/>
          <w:szCs w:val="28"/>
          <w:lang w:val="en-GB"/>
        </w:rPr>
      </w:pPr>
      <w:r w:rsidRPr="00837A9C">
        <w:rPr>
          <w:b/>
          <w:bCs/>
          <w:sz w:val="28"/>
          <w:szCs w:val="28"/>
          <w:lang w:val="en-GB"/>
        </w:rPr>
        <w:t>Abstract</w:t>
      </w:r>
    </w:p>
    <w:p w14:paraId="2B1D3B05" w14:textId="4BF14DEB" w:rsidR="00CD0B8C" w:rsidRPr="001960F2" w:rsidRDefault="00837A9C" w:rsidP="00837A9C">
      <w:pPr>
        <w:spacing w:after="0" w:line="480" w:lineRule="auto"/>
        <w:jc w:val="both"/>
        <w:rPr>
          <w:lang w:val="en-GB"/>
        </w:rPr>
      </w:pPr>
      <w:r w:rsidRPr="00837A9C">
        <w:rPr>
          <w:lang w:val="en-GB"/>
        </w:rPr>
        <w:t xml:space="preserve">The Assessment of </w:t>
      </w:r>
      <w:proofErr w:type="spellStart"/>
      <w:r w:rsidRPr="00837A9C">
        <w:rPr>
          <w:lang w:val="en-GB"/>
        </w:rPr>
        <w:t>SpondyloArthritis</w:t>
      </w:r>
      <w:proofErr w:type="spellEnd"/>
      <w:r w:rsidRPr="00837A9C">
        <w:rPr>
          <w:lang w:val="en-GB"/>
        </w:rPr>
        <w:t xml:space="preserve"> International Society (ASAS) classification criteria for Axial spondyloarthritis</w:t>
      </w:r>
      <w:r>
        <w:rPr>
          <w:lang w:val="en-GB"/>
        </w:rPr>
        <w:t xml:space="preserve"> </w:t>
      </w:r>
      <w:r w:rsidRPr="00837A9C">
        <w:rPr>
          <w:lang w:val="en-GB"/>
        </w:rPr>
        <w:t>(</w:t>
      </w:r>
      <w:proofErr w:type="spellStart"/>
      <w:r w:rsidRPr="00837A9C">
        <w:rPr>
          <w:lang w:val="en-GB"/>
        </w:rPr>
        <w:t>axSpA</w:t>
      </w:r>
      <w:proofErr w:type="spellEnd"/>
      <w:r w:rsidRPr="00837A9C">
        <w:rPr>
          <w:lang w:val="en-GB"/>
        </w:rPr>
        <w:t xml:space="preserve">) are designed to identify homogeneous groups of patients among those diagnosed with </w:t>
      </w:r>
      <w:proofErr w:type="spellStart"/>
      <w:r w:rsidRPr="00837A9C">
        <w:rPr>
          <w:lang w:val="en-GB"/>
        </w:rPr>
        <w:t>axSpA</w:t>
      </w:r>
      <w:proofErr w:type="spellEnd"/>
      <w:r w:rsidRPr="00837A9C">
        <w:rPr>
          <w:lang w:val="en-GB"/>
        </w:rPr>
        <w:t xml:space="preserve"> and provide a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framework for research in this field. The data on the </w:t>
      </w:r>
      <w:proofErr w:type="spellStart"/>
      <w:r w:rsidRPr="00837A9C">
        <w:rPr>
          <w:lang w:val="en-GB"/>
        </w:rPr>
        <w:t>SpA</w:t>
      </w:r>
      <w:proofErr w:type="spellEnd"/>
      <w:r w:rsidRPr="00837A9C">
        <w:rPr>
          <w:lang w:val="en-GB"/>
        </w:rPr>
        <w:t xml:space="preserve"> features pertaining to the classification criteria are incomplete in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patients with </w:t>
      </w:r>
      <w:proofErr w:type="spellStart"/>
      <w:r w:rsidRPr="00837A9C">
        <w:rPr>
          <w:lang w:val="en-GB"/>
        </w:rPr>
        <w:t>axSpA</w:t>
      </w:r>
      <w:proofErr w:type="spellEnd"/>
      <w:r w:rsidRPr="00837A9C">
        <w:rPr>
          <w:lang w:val="en-GB"/>
        </w:rPr>
        <w:t xml:space="preserve"> registered in Reuma.pt. When disease activity is not adequately controlled with non-pharmacological</w:t>
      </w:r>
      <w:r>
        <w:rPr>
          <w:lang w:val="en-GB"/>
        </w:rPr>
        <w:t xml:space="preserve"> </w:t>
      </w:r>
      <w:r w:rsidRPr="00837A9C">
        <w:rPr>
          <w:lang w:val="en-GB"/>
        </w:rPr>
        <w:t>measures and first-line therapy with non-steroidal anti-inflammatory drugs (NSAIDs), biological disease-modifying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antirheumatic drugs (bDMARDs), namely </w:t>
      </w:r>
      <w:proofErr w:type="spellStart"/>
      <w:r w:rsidRPr="00837A9C">
        <w:rPr>
          <w:lang w:val="en-GB"/>
        </w:rPr>
        <w:t>tumor</w:t>
      </w:r>
      <w:proofErr w:type="spellEnd"/>
      <w:r w:rsidRPr="00837A9C">
        <w:rPr>
          <w:lang w:val="en-GB"/>
        </w:rPr>
        <w:t xml:space="preserve"> necrosis factor inhibitors (</w:t>
      </w:r>
      <w:proofErr w:type="spellStart"/>
      <w:r w:rsidRPr="00837A9C">
        <w:rPr>
          <w:lang w:val="en-GB"/>
        </w:rPr>
        <w:t>TNFi</w:t>
      </w:r>
      <w:proofErr w:type="spellEnd"/>
      <w:r w:rsidRPr="00837A9C">
        <w:rPr>
          <w:lang w:val="en-GB"/>
        </w:rPr>
        <w:t>) and interleukine-17 inhibitors (IL-17i),</w:t>
      </w:r>
      <w:r>
        <w:rPr>
          <w:lang w:val="en-GB"/>
        </w:rPr>
        <w:t xml:space="preserve"> </w:t>
      </w:r>
      <w:r w:rsidRPr="00837A9C">
        <w:rPr>
          <w:lang w:val="en-GB"/>
        </w:rPr>
        <w:t>are possible therapeutic options with well-established effectiveness. Elevated C-reactive protein (CRP) is the strongest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predictor of a good response to </w:t>
      </w:r>
      <w:proofErr w:type="spellStart"/>
      <w:r w:rsidRPr="00837A9C">
        <w:rPr>
          <w:lang w:val="en-GB"/>
        </w:rPr>
        <w:t>TNFi</w:t>
      </w:r>
      <w:proofErr w:type="spellEnd"/>
      <w:r w:rsidRPr="00837A9C">
        <w:rPr>
          <w:lang w:val="en-GB"/>
        </w:rPr>
        <w:t xml:space="preserve"> therapy. This also means that patients with negative or low CRP levels appear to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have a poorer therapeutic response to </w:t>
      </w:r>
      <w:proofErr w:type="spellStart"/>
      <w:r w:rsidRPr="00837A9C">
        <w:rPr>
          <w:lang w:val="en-GB"/>
        </w:rPr>
        <w:t>TNFi</w:t>
      </w:r>
      <w:proofErr w:type="spellEnd"/>
      <w:r w:rsidRPr="00837A9C">
        <w:rPr>
          <w:lang w:val="en-GB"/>
        </w:rPr>
        <w:t xml:space="preserve">. Given that IL-17i act at different points of the pro-inflammatory </w:t>
      </w:r>
      <w:r w:rsidRPr="00837A9C">
        <w:rPr>
          <w:lang w:val="en-GB"/>
        </w:rPr>
        <w:lastRenderedPageBreak/>
        <w:t>cascade,</w:t>
      </w:r>
      <w:r>
        <w:rPr>
          <w:lang w:val="en-GB"/>
        </w:rPr>
        <w:t xml:space="preserve"> </w:t>
      </w:r>
      <w:r w:rsidRPr="00837A9C">
        <w:rPr>
          <w:lang w:val="en-GB"/>
        </w:rPr>
        <w:t xml:space="preserve">they may represent an important therapeutic option for this subgroup of patients, who tend to respond less </w:t>
      </w:r>
      <w:proofErr w:type="spellStart"/>
      <w:r w:rsidRPr="00837A9C">
        <w:rPr>
          <w:lang w:val="en-GB"/>
        </w:rPr>
        <w:t>favorably</w:t>
      </w:r>
      <w:proofErr w:type="spellEnd"/>
      <w:r w:rsidRPr="00837A9C">
        <w:rPr>
          <w:lang w:val="en-GB"/>
        </w:rPr>
        <w:t xml:space="preserve"> </w:t>
      </w:r>
      <w:proofErr w:type="spellStart"/>
      <w:r w:rsidRPr="00837A9C">
        <w:rPr>
          <w:lang w:val="en-GB"/>
        </w:rPr>
        <w:t>toTNFi</w:t>
      </w:r>
      <w:proofErr w:type="spellEnd"/>
      <w:r w:rsidRPr="00837A9C">
        <w:rPr>
          <w:lang w:val="en-GB"/>
        </w:rPr>
        <w:t xml:space="preserve"> therapy.</w:t>
      </w:r>
    </w:p>
    <w:sectPr w:rsidR="00CD0B8C" w:rsidRPr="001960F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C2441" w14:textId="77777777" w:rsidR="00873400" w:rsidRDefault="00873400" w:rsidP="00CD0B8C">
      <w:pPr>
        <w:spacing w:after="0" w:line="240" w:lineRule="auto"/>
      </w:pPr>
      <w:r>
        <w:separator/>
      </w:r>
    </w:p>
  </w:endnote>
  <w:endnote w:type="continuationSeparator" w:id="0">
    <w:p w14:paraId="111EA6BB" w14:textId="77777777" w:rsidR="00873400" w:rsidRDefault="00873400" w:rsidP="00C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7263" w14:textId="67BB4B34" w:rsidR="00CD0B8C" w:rsidRDefault="00CD0B8C">
    <w:pPr>
      <w:pStyle w:val="Rodap"/>
    </w:pPr>
    <w:r>
      <w:rPr>
        <w:noProof/>
      </w:rPr>
      <w:drawing>
        <wp:inline distT="0" distB="0" distL="0" distR="0" wp14:anchorId="1740F03F" wp14:editId="49BCEE2C">
          <wp:extent cx="5400040" cy="498475"/>
          <wp:effectExtent l="0" t="0" r="0" b="0"/>
          <wp:docPr id="16250617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61798" name="Imagem 162506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315" cy="500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8199" w14:textId="77777777" w:rsidR="00873400" w:rsidRDefault="00873400" w:rsidP="00CD0B8C">
      <w:pPr>
        <w:spacing w:after="0" w:line="240" w:lineRule="auto"/>
      </w:pPr>
      <w:r>
        <w:separator/>
      </w:r>
    </w:p>
  </w:footnote>
  <w:footnote w:type="continuationSeparator" w:id="0">
    <w:p w14:paraId="5D11864F" w14:textId="77777777" w:rsidR="00873400" w:rsidRDefault="00873400" w:rsidP="00CD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DD1" w14:textId="3433AED3" w:rsidR="00CD0B8C" w:rsidRDefault="00CD0B8C" w:rsidP="00CD0B8C">
    <w:pPr>
      <w:pStyle w:val="Cabealho"/>
      <w:ind w:left="3544"/>
    </w:pPr>
    <w:r>
      <w:rPr>
        <w:noProof/>
      </w:rPr>
      <w:drawing>
        <wp:inline distT="0" distB="0" distL="0" distR="0" wp14:anchorId="3DC6A700" wp14:editId="182736BD">
          <wp:extent cx="1371600" cy="863600"/>
          <wp:effectExtent l="0" t="0" r="0" b="0"/>
          <wp:docPr id="13724020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02051" name="Imagem 1372402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1960F2"/>
    <w:rsid w:val="00287035"/>
    <w:rsid w:val="002D399D"/>
    <w:rsid w:val="002F5ABF"/>
    <w:rsid w:val="003C6BD6"/>
    <w:rsid w:val="003E4F6D"/>
    <w:rsid w:val="00623450"/>
    <w:rsid w:val="00781EA8"/>
    <w:rsid w:val="00816AD9"/>
    <w:rsid w:val="00837A9C"/>
    <w:rsid w:val="00873400"/>
    <w:rsid w:val="009D4AEF"/>
    <w:rsid w:val="00AF29AB"/>
    <w:rsid w:val="00B5771A"/>
    <w:rsid w:val="00CD0B8C"/>
    <w:rsid w:val="00EF147B"/>
    <w:rsid w:val="00F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BF2D"/>
  <w15:chartTrackingRefBased/>
  <w15:docId w15:val="{ED1B4B6E-B7DE-4941-8E62-24D68814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D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0B8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0B8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0B8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D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0B8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0B8C"/>
  </w:style>
  <w:style w:type="paragraph" w:styleId="Rodap">
    <w:name w:val="footer"/>
    <w:basedOn w:val="Normal"/>
    <w:link w:val="Rodap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266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Reuma.pt SPR</dc:creator>
  <cp:keywords/>
  <dc:description/>
  <cp:lastModifiedBy>Reuma.pt SPR</cp:lastModifiedBy>
  <cp:revision>10</cp:revision>
  <dcterms:created xsi:type="dcterms:W3CDTF">2025-08-05T13:59:00Z</dcterms:created>
  <dcterms:modified xsi:type="dcterms:W3CDTF">2026-09-17T10:11:00Z</dcterms:modified>
</cp:coreProperties>
</file>